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D6" w:rsidRDefault="003A70D6" w:rsidP="003A70D6">
      <w:pPr>
        <w:jc w:val="right"/>
        <w:rPr>
          <w:sz w:val="28"/>
          <w:szCs w:val="28"/>
        </w:rPr>
      </w:pPr>
      <w:r w:rsidRPr="001E2122">
        <w:rPr>
          <w:sz w:val="28"/>
          <w:szCs w:val="28"/>
        </w:rPr>
        <w:t>K</w:t>
      </w:r>
      <w:r>
        <w:rPr>
          <w:sz w:val="28"/>
          <w:szCs w:val="28"/>
        </w:rPr>
        <w:t>raśnik, 22</w:t>
      </w:r>
      <w:r>
        <w:rPr>
          <w:sz w:val="28"/>
          <w:szCs w:val="28"/>
        </w:rPr>
        <w:t>. 05</w:t>
      </w:r>
      <w:r w:rsidRPr="001E2122">
        <w:rPr>
          <w:sz w:val="28"/>
          <w:szCs w:val="28"/>
        </w:rPr>
        <w:t>. 2020 r.</w:t>
      </w:r>
    </w:p>
    <w:p w:rsidR="003A70D6" w:rsidRDefault="003A70D6" w:rsidP="003A70D6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3A70D6" w:rsidRDefault="003A70D6" w:rsidP="003A70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 dniu dzisiejszym pracujemy z </w:t>
      </w:r>
      <w:r>
        <w:rPr>
          <w:sz w:val="28"/>
          <w:szCs w:val="28"/>
        </w:rPr>
        <w:t>podręcznikiem i karta pracy, którą należy odesłać do 28. 05. 2020 r.</w:t>
      </w:r>
    </w:p>
    <w:p w:rsidR="003A70D6" w:rsidRDefault="003A70D6" w:rsidP="003A70D6">
      <w:pPr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>. 05</w:t>
      </w:r>
      <w:r w:rsidRPr="003A33E9">
        <w:rPr>
          <w:sz w:val="28"/>
          <w:szCs w:val="28"/>
        </w:rPr>
        <w:t>. 2020 r.</w:t>
      </w:r>
    </w:p>
    <w:p w:rsidR="003A70D6" w:rsidRPr="003A33E9" w:rsidRDefault="003A70D6" w:rsidP="003A70D6">
      <w:pPr>
        <w:jc w:val="center"/>
        <w:rPr>
          <w:sz w:val="28"/>
          <w:szCs w:val="28"/>
        </w:rPr>
      </w:pPr>
    </w:p>
    <w:p w:rsidR="003A70D6" w:rsidRDefault="003A70D6" w:rsidP="003A70D6">
      <w:pPr>
        <w:jc w:val="center"/>
        <w:rPr>
          <w:sz w:val="28"/>
          <w:szCs w:val="28"/>
        </w:rPr>
      </w:pPr>
      <w:r w:rsidRPr="003A33E9">
        <w:rPr>
          <w:sz w:val="28"/>
          <w:szCs w:val="28"/>
        </w:rPr>
        <w:t>Lekcja</w:t>
      </w:r>
    </w:p>
    <w:p w:rsidR="003A70D6" w:rsidRDefault="003A70D6" w:rsidP="003A70D6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Temat: Dramat w przestworzach</w:t>
      </w:r>
      <w:r>
        <w:rPr>
          <w:rFonts w:cstheme="minorHAnsi"/>
          <w:sz w:val="28"/>
          <w:szCs w:val="28"/>
        </w:rPr>
        <w:t>.</w:t>
      </w:r>
    </w:p>
    <w:p w:rsidR="003E406B" w:rsidRDefault="003E406B" w:rsidP="003E406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Przeczytaj „Mit o Dedalu i Ikarze” – podręcznik s.</w:t>
      </w:r>
      <w:r w:rsidR="00ED0D5B">
        <w:rPr>
          <w:rFonts w:cstheme="minorHAnsi"/>
          <w:sz w:val="28"/>
          <w:szCs w:val="28"/>
        </w:rPr>
        <w:t xml:space="preserve"> 232.</w:t>
      </w:r>
    </w:p>
    <w:p w:rsidR="00ED0D5B" w:rsidRDefault="00ED0D5B" w:rsidP="003E406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A86BAE">
        <w:rPr>
          <w:rFonts w:cstheme="minorHAnsi"/>
          <w:sz w:val="28"/>
          <w:szCs w:val="28"/>
        </w:rPr>
        <w:t xml:space="preserve">o </w:t>
      </w:r>
      <w:r>
        <w:rPr>
          <w:rFonts w:cstheme="minorHAnsi"/>
          <w:sz w:val="28"/>
          <w:szCs w:val="28"/>
        </w:rPr>
        <w:t>przeczytaniu tekstu określ jego tematykę.</w:t>
      </w:r>
    </w:p>
    <w:p w:rsidR="00A847B6" w:rsidRDefault="00A86BAE" w:rsidP="003E406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Wymień</w:t>
      </w:r>
      <w:r w:rsidR="007300F2">
        <w:rPr>
          <w:rFonts w:cstheme="minorHAnsi"/>
          <w:sz w:val="28"/>
          <w:szCs w:val="28"/>
        </w:rPr>
        <w:t xml:space="preserve"> bohaterów utworu i  wpisz do z</w:t>
      </w:r>
      <w:r w:rsidR="007F639C">
        <w:rPr>
          <w:rFonts w:cstheme="minorHAnsi"/>
          <w:sz w:val="28"/>
          <w:szCs w:val="28"/>
        </w:rPr>
        <w:t>eszytu w porządku alfabetycznym, a następnie dopisz przy każdym z nich krótką informację na jego temat.</w:t>
      </w:r>
      <w:bookmarkStart w:id="0" w:name="_GoBack"/>
      <w:bookmarkEnd w:id="0"/>
      <w:r w:rsidR="007F639C">
        <w:rPr>
          <w:rFonts w:cstheme="minorHAnsi"/>
          <w:sz w:val="28"/>
          <w:szCs w:val="28"/>
        </w:rPr>
        <w:t xml:space="preserve"> </w:t>
      </w:r>
    </w:p>
    <w:p w:rsidR="00ED0D5B" w:rsidRPr="003E406B" w:rsidRDefault="00A847B6" w:rsidP="003E406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Wykonaj polecenie z karty pracy.</w:t>
      </w:r>
      <w:r w:rsidR="007300F2">
        <w:rPr>
          <w:rFonts w:cstheme="minorHAnsi"/>
          <w:sz w:val="28"/>
          <w:szCs w:val="28"/>
        </w:rPr>
        <w:t xml:space="preserve"> </w:t>
      </w:r>
    </w:p>
    <w:p w:rsidR="00C56F54" w:rsidRDefault="00C56F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C56F54" w:rsidRPr="00C56F54" w:rsidRDefault="00C56F54" w:rsidP="00C56F5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56F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Karta pracy 1</w:t>
      </w:r>
    </w:p>
    <w:p w:rsidR="00C56F54" w:rsidRPr="00C56F54" w:rsidRDefault="00C56F54" w:rsidP="00C56F54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92D050"/>
          <w:sz w:val="40"/>
          <w:szCs w:val="40"/>
        </w:rPr>
      </w:pPr>
      <w:r w:rsidRPr="00C56F54">
        <w:rPr>
          <w:rFonts w:ascii="Times New Roman" w:eastAsia="Calibri" w:hAnsi="Times New Roman" w:cs="Times New Roman"/>
          <w:b/>
          <w:noProof/>
          <w:color w:val="92D050"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-277495</wp:posOffset>
            </wp:positionV>
            <wp:extent cx="2317750" cy="1200150"/>
            <wp:effectExtent l="0" t="0" r="6350" b="0"/>
            <wp:wrapSquare wrapText="bothSides"/>
            <wp:docPr id="1" name="Obraz 1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F54">
        <w:rPr>
          <w:rFonts w:ascii="Times New Roman" w:eastAsia="Calibri" w:hAnsi="Times New Roman" w:cs="Times New Roman"/>
          <w:b/>
          <w:color w:val="92D050"/>
          <w:sz w:val="40"/>
          <w:szCs w:val="40"/>
        </w:rPr>
        <w:t>Co spotkało Dedala i Ikara?</w:t>
      </w:r>
    </w:p>
    <w:p w:rsidR="00C56F54" w:rsidRPr="00C56F54" w:rsidRDefault="00C56F54" w:rsidP="00C56F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6F54" w:rsidRPr="00C56F54" w:rsidRDefault="00C56F54" w:rsidP="00C56F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6F54" w:rsidRPr="00C56F54" w:rsidRDefault="00C56F54" w:rsidP="00C56F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6F54" w:rsidRPr="00C56F54" w:rsidRDefault="00C56F54" w:rsidP="00C56F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6F54" w:rsidRPr="00C56F54" w:rsidRDefault="00C56F54" w:rsidP="00C56F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6F54">
        <w:rPr>
          <w:rFonts w:ascii="Times New Roman" w:eastAsia="Calibri" w:hAnsi="Times New Roman" w:cs="Times New Roman"/>
          <w:sz w:val="24"/>
          <w:szCs w:val="24"/>
        </w:rPr>
        <w:t xml:space="preserve">Ponumeruj punkty planu wydarzeń przedstawionych w tekście </w:t>
      </w:r>
      <w:r w:rsidRPr="00C56F54">
        <w:rPr>
          <w:rFonts w:ascii="Times New Roman" w:eastAsia="Calibri" w:hAnsi="Times New Roman" w:cs="Times New Roman"/>
          <w:i/>
          <w:sz w:val="24"/>
          <w:szCs w:val="24"/>
        </w:rPr>
        <w:t xml:space="preserve">Mitu o Dedalu i Ikarze </w:t>
      </w:r>
      <w:r w:rsidRPr="00C56F54">
        <w:rPr>
          <w:rFonts w:ascii="Times New Roman" w:eastAsia="Calibri" w:hAnsi="Times New Roman" w:cs="Times New Roman"/>
          <w:sz w:val="24"/>
          <w:szCs w:val="24"/>
        </w:rPr>
        <w:t>zgodnie z kolejnością chronologiczną. Następnie przekształć zdania w równoważniki zdań.</w:t>
      </w:r>
    </w:p>
    <w:p w:rsidR="00C56F54" w:rsidRPr="00C56F54" w:rsidRDefault="00C56F54" w:rsidP="00C56F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6F54" w:rsidRPr="00C56F54" w:rsidRDefault="00C56F54" w:rsidP="00C56F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543"/>
        <w:gridCol w:w="4590"/>
      </w:tblGrid>
      <w:tr w:rsidR="00C56F54" w:rsidRPr="00C56F54" w:rsidTr="00125949">
        <w:trPr>
          <w:trHeight w:val="418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FDE9D9"/>
          </w:tcPr>
          <w:p w:rsidR="00C56F54" w:rsidRPr="00C56F54" w:rsidRDefault="00C56F54" w:rsidP="00C56F5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</w:t>
            </w:r>
          </w:p>
        </w:tc>
        <w:tc>
          <w:tcPr>
            <w:tcW w:w="3543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FDE9D9"/>
          </w:tcPr>
          <w:p w:rsidR="00C56F54" w:rsidRPr="00C56F54" w:rsidRDefault="00C56F54" w:rsidP="00C56F5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4590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FDE9D9"/>
          </w:tcPr>
          <w:p w:rsidR="00C56F54" w:rsidRPr="00C56F54" w:rsidRDefault="00C56F54" w:rsidP="00C56F5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Równoważnik zdania</w:t>
            </w:r>
          </w:p>
        </w:tc>
      </w:tr>
      <w:tr w:rsidR="00C56F54" w:rsidRPr="00C56F54" w:rsidTr="00125949">
        <w:trPr>
          <w:trHeight w:val="1134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C56F54" w:rsidRPr="00C56F54" w:rsidRDefault="00C56F54" w:rsidP="00C56F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4" w:space="0" w:color="17365D"/>
              <w:left w:val="single" w:sz="24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C56F54" w:rsidRPr="00C56F54" w:rsidRDefault="00C56F54" w:rsidP="00C56F5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F54">
              <w:rPr>
                <w:rFonts w:ascii="Times New Roman" w:eastAsia="Calibri" w:hAnsi="Times New Roman" w:cs="Times New Roman"/>
                <w:sz w:val="24"/>
                <w:szCs w:val="24"/>
              </w:rPr>
              <w:t>Dedal konstruuje skrzydła.</w:t>
            </w:r>
          </w:p>
        </w:tc>
        <w:tc>
          <w:tcPr>
            <w:tcW w:w="4590" w:type="dxa"/>
            <w:tcBorders>
              <w:top w:val="single" w:sz="24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</w:tcPr>
          <w:p w:rsidR="00C56F54" w:rsidRPr="00C56F54" w:rsidRDefault="00C56F54" w:rsidP="00C56F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F54" w:rsidRPr="00C56F54" w:rsidTr="00125949">
        <w:trPr>
          <w:trHeight w:val="1134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C56F54" w:rsidRPr="00C56F54" w:rsidRDefault="00C56F54" w:rsidP="00C56F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17365D"/>
              <w:left w:val="single" w:sz="24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C56F54" w:rsidRPr="00C56F54" w:rsidRDefault="00C56F54" w:rsidP="00C56F5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F54">
              <w:rPr>
                <w:rFonts w:ascii="Times New Roman" w:eastAsia="Calibri" w:hAnsi="Times New Roman" w:cs="Times New Roman"/>
                <w:sz w:val="24"/>
                <w:szCs w:val="24"/>
              </w:rPr>
              <w:t>Ojciec poucza syna przed odlotem.</w:t>
            </w:r>
          </w:p>
        </w:tc>
        <w:tc>
          <w:tcPr>
            <w:tcW w:w="459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</w:tcPr>
          <w:p w:rsidR="00C56F54" w:rsidRPr="00C56F54" w:rsidRDefault="00C56F54" w:rsidP="00C56F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F54" w:rsidRPr="00C56F54" w:rsidTr="00125949">
        <w:trPr>
          <w:trHeight w:val="1134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C56F54" w:rsidRPr="00C56F54" w:rsidRDefault="00C56F54" w:rsidP="00C56F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17365D"/>
              <w:left w:val="single" w:sz="24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C56F54" w:rsidRPr="00C56F54" w:rsidRDefault="00C56F54" w:rsidP="00C56F5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F54">
              <w:rPr>
                <w:rFonts w:ascii="Times New Roman" w:eastAsia="Calibri" w:hAnsi="Times New Roman" w:cs="Times New Roman"/>
                <w:sz w:val="24"/>
                <w:szCs w:val="24"/>
              </w:rPr>
              <w:t>Dedal buduje labirynt.</w:t>
            </w:r>
          </w:p>
        </w:tc>
        <w:tc>
          <w:tcPr>
            <w:tcW w:w="459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</w:tcPr>
          <w:p w:rsidR="00C56F54" w:rsidRPr="00C56F54" w:rsidRDefault="00C56F54" w:rsidP="00C56F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F54" w:rsidRPr="00C56F54" w:rsidTr="00125949">
        <w:trPr>
          <w:trHeight w:val="1134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C56F54" w:rsidRPr="00C56F54" w:rsidRDefault="00C56F54" w:rsidP="00C56F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17365D"/>
              <w:left w:val="single" w:sz="24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C56F54" w:rsidRPr="00C56F54" w:rsidRDefault="00C56F54" w:rsidP="00C56F5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F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Minos rozmawia z Dedalem </w:t>
            </w:r>
            <w:r w:rsidRPr="00C56F5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 swoich kłopotach związanych z Minotaurem.</w:t>
            </w:r>
          </w:p>
        </w:tc>
        <w:tc>
          <w:tcPr>
            <w:tcW w:w="459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</w:tcPr>
          <w:p w:rsidR="00C56F54" w:rsidRPr="00C56F54" w:rsidRDefault="00C56F54" w:rsidP="00C56F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F54" w:rsidRPr="00C56F54" w:rsidTr="00125949">
        <w:trPr>
          <w:trHeight w:val="1134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C56F54" w:rsidRPr="00C56F54" w:rsidRDefault="00C56F54" w:rsidP="00C56F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17365D"/>
              <w:left w:val="single" w:sz="24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C56F54" w:rsidRPr="00C56F54" w:rsidRDefault="00C56F54" w:rsidP="00C56F5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F54">
              <w:rPr>
                <w:rFonts w:ascii="Times New Roman" w:eastAsia="Calibri" w:hAnsi="Times New Roman" w:cs="Times New Roman"/>
                <w:sz w:val="24"/>
                <w:szCs w:val="24"/>
              </w:rPr>
              <w:t>Dedal marzy o powrocie do Aten.</w:t>
            </w:r>
          </w:p>
        </w:tc>
        <w:tc>
          <w:tcPr>
            <w:tcW w:w="459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</w:tcPr>
          <w:p w:rsidR="00C56F54" w:rsidRPr="00C56F54" w:rsidRDefault="00C56F54" w:rsidP="00C56F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F54" w:rsidRPr="00C56F54" w:rsidTr="00125949">
        <w:trPr>
          <w:trHeight w:val="1134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C56F54" w:rsidRPr="00C56F54" w:rsidRDefault="00C56F54" w:rsidP="00C56F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17365D"/>
              <w:left w:val="single" w:sz="24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C56F54" w:rsidRPr="00C56F54" w:rsidRDefault="00C56F54" w:rsidP="00C56F5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F54">
              <w:rPr>
                <w:rFonts w:ascii="Times New Roman" w:eastAsia="Calibri" w:hAnsi="Times New Roman" w:cs="Times New Roman"/>
                <w:sz w:val="24"/>
                <w:szCs w:val="24"/>
              </w:rPr>
              <w:t>Ikar jest zafascynowany lotem.</w:t>
            </w:r>
          </w:p>
        </w:tc>
        <w:tc>
          <w:tcPr>
            <w:tcW w:w="459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</w:tcPr>
          <w:p w:rsidR="00C56F54" w:rsidRPr="00C56F54" w:rsidRDefault="00C56F54" w:rsidP="00C56F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F54" w:rsidRPr="00C56F54" w:rsidTr="00125949">
        <w:trPr>
          <w:trHeight w:val="1134"/>
          <w:jc w:val="center"/>
        </w:trPr>
        <w:tc>
          <w:tcPr>
            <w:tcW w:w="1047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C56F54" w:rsidRPr="00C56F54" w:rsidRDefault="00C56F54" w:rsidP="00C56F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17365D"/>
              <w:left w:val="single" w:sz="24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C56F54" w:rsidRPr="00C56F54" w:rsidRDefault="00C56F54" w:rsidP="00C56F54">
            <w:pPr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F54">
              <w:rPr>
                <w:rFonts w:ascii="Times New Roman" w:eastAsia="Calibri" w:hAnsi="Times New Roman" w:cs="Times New Roman"/>
                <w:sz w:val="24"/>
                <w:szCs w:val="24"/>
              </w:rPr>
              <w:t>Syn Dedala tragicznie ginie.</w:t>
            </w:r>
          </w:p>
        </w:tc>
        <w:tc>
          <w:tcPr>
            <w:tcW w:w="4590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auto"/>
          </w:tcPr>
          <w:p w:rsidR="00C56F54" w:rsidRPr="00C56F54" w:rsidRDefault="00C56F54" w:rsidP="00C56F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6F54" w:rsidRDefault="00C56F54" w:rsidP="003A70D6">
      <w:pPr>
        <w:rPr>
          <w:rFonts w:cstheme="minorHAnsi"/>
          <w:sz w:val="28"/>
          <w:szCs w:val="28"/>
        </w:rPr>
      </w:pPr>
    </w:p>
    <w:p w:rsidR="00155E91" w:rsidRDefault="00155E91"/>
    <w:sectPr w:rsidR="0015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843"/>
    <w:multiLevelType w:val="hybridMultilevel"/>
    <w:tmpl w:val="484C0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D6"/>
    <w:rsid w:val="00155E91"/>
    <w:rsid w:val="003A70D6"/>
    <w:rsid w:val="003E406B"/>
    <w:rsid w:val="004528ED"/>
    <w:rsid w:val="007300F2"/>
    <w:rsid w:val="007F639C"/>
    <w:rsid w:val="00A847B6"/>
    <w:rsid w:val="00A86BAE"/>
    <w:rsid w:val="00C56F54"/>
    <w:rsid w:val="00E91163"/>
    <w:rsid w:val="00E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783D"/>
  <w15:chartTrackingRefBased/>
  <w15:docId w15:val="{AE9319C3-57D3-45CC-985F-6964965C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6</cp:revision>
  <dcterms:created xsi:type="dcterms:W3CDTF">2020-05-19T12:37:00Z</dcterms:created>
  <dcterms:modified xsi:type="dcterms:W3CDTF">2020-05-19T13:37:00Z</dcterms:modified>
</cp:coreProperties>
</file>